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33"/>
        <w:gridCol w:w="992"/>
        <w:gridCol w:w="992"/>
      </w:tblGrid>
      <w:tr w:rsidR="001107EA" w:rsidRPr="00D921DE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noProof/>
                <w:szCs w:val="22"/>
              </w:rPr>
            </w:pP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2729F8" w:rsidRPr="00BF4201" w:rsidRDefault="001F2827" w:rsidP="001F2827">
            <w:pPr>
              <w:jc w:val="both"/>
              <w:rPr>
                <w:rFonts w:asciiTheme="majorHAnsi" w:hAnsiTheme="majorHAnsi"/>
                <w:szCs w:val="22"/>
              </w:rPr>
            </w:pPr>
            <w:r w:rsidRPr="00BF4201">
              <w:rPr>
                <w:rFonts w:asciiTheme="majorHAnsi" w:hAnsiTheme="majorHAnsi"/>
                <w:sz w:val="22"/>
                <w:szCs w:val="22"/>
              </w:rPr>
              <w:t>Na mrežnim stranicama prijavitelja ili na drugi odgovarajući način objavljen je opisni i financijski izvještaj za 201</w:t>
            </w:r>
            <w:r w:rsidR="00BF4201" w:rsidRPr="00BF4201">
              <w:rPr>
                <w:rFonts w:asciiTheme="majorHAnsi" w:hAnsiTheme="majorHAnsi"/>
                <w:sz w:val="22"/>
                <w:szCs w:val="22"/>
              </w:rPr>
              <w:t>7</w:t>
            </w:r>
            <w:r w:rsidRPr="00BF4201">
              <w:rPr>
                <w:rFonts w:asciiTheme="majorHAnsi" w:hAnsiTheme="majorHAnsi"/>
                <w:sz w:val="22"/>
                <w:szCs w:val="22"/>
              </w:rPr>
              <w:t>. godinu.</w:t>
            </w:r>
          </w:p>
          <w:p w:rsidR="00BB1C21" w:rsidRDefault="00BB1C21" w:rsidP="001F2827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F21965" w:rsidP="001F2827">
            <w:pPr>
              <w:jc w:val="both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V</w:t>
            </w:r>
            <w:r w:rsidR="00432B67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rijedi i za partnera 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B920C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lastRenderedPageBreak/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i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Program rada </w:t>
            </w:r>
            <w:r w:rsidR="00BF4201">
              <w:rPr>
                <w:rFonts w:asciiTheme="majorHAnsi" w:hAnsiTheme="majorHAnsi"/>
                <w:sz w:val="22"/>
                <w:szCs w:val="22"/>
              </w:rPr>
              <w:t xml:space="preserve">i proračun 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>odobrenih programa javnih potreba RH u tehničkoj kulturi u 20</w:t>
            </w:r>
            <w:r w:rsidR="001E66EC">
              <w:rPr>
                <w:rFonts w:asciiTheme="majorHAnsi" w:hAnsiTheme="majorHAnsi"/>
                <w:sz w:val="22"/>
                <w:szCs w:val="22"/>
              </w:rPr>
              <w:t>19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. godini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1E66EC">
            <w:pPr>
              <w:pStyle w:val="Odlomakpopisa"/>
              <w:numPr>
                <w:ilvl w:val="0"/>
                <w:numId w:val="10"/>
              </w:num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Opisni i financijski izvještaj </w:t>
            </w:r>
            <w:r>
              <w:rPr>
                <w:rFonts w:asciiTheme="majorHAnsi" w:hAnsiTheme="majorHAnsi"/>
                <w:sz w:val="22"/>
                <w:szCs w:val="22"/>
              </w:rPr>
              <w:t>za 201</w:t>
            </w:r>
            <w:r w:rsidR="001E66EC">
              <w:rPr>
                <w:rFonts w:asciiTheme="majorHAnsi" w:hAnsiTheme="majorHAnsi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godinu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320795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320795" w:rsidRPr="000C5891" w:rsidRDefault="00320795" w:rsidP="001E66EC">
            <w:pPr>
              <w:pStyle w:val="Odlomakpopisa"/>
              <w:numPr>
                <w:ilvl w:val="0"/>
                <w:numId w:val="10"/>
              </w:num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Polugodišnji opisni </w:t>
            </w:r>
            <w:r w:rsidRPr="000C5891">
              <w:rPr>
                <w:rFonts w:asciiTheme="majorHAnsi" w:hAnsiTheme="majorHAnsi"/>
                <w:sz w:val="22"/>
                <w:szCs w:val="22"/>
              </w:rPr>
              <w:t xml:space="preserve">izvještaj </w:t>
            </w:r>
            <w:r>
              <w:rPr>
                <w:rFonts w:asciiTheme="majorHAnsi" w:hAnsiTheme="majorHAnsi"/>
                <w:sz w:val="22"/>
                <w:szCs w:val="22"/>
              </w:rPr>
              <w:t>za 201</w:t>
            </w:r>
            <w:r w:rsidR="001E66EC">
              <w:rPr>
                <w:rFonts w:asciiTheme="majorHAnsi" w:hAnsiTheme="majorHAnsi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godinu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795" w:rsidRPr="00D921DE" w:rsidRDefault="00320795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95" w:rsidRPr="00D921DE" w:rsidRDefault="00320795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DE34BA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udruge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DE34BA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udruge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(osim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A1250B" w:rsidP="00F21965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10.000,00 kn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do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400.000,00 kn (osim za Opće i zajedničke troškove Stručne službe HZTK).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A1250B" w:rsidRPr="00D921DE" w:rsidRDefault="00F21965" w:rsidP="00F21965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do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prijedloga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F21965" w:rsidP="00BF4201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iznos izravnih programskih troškova svih programa međunarodne suradnje 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nije viši od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50%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:rsidR="009640D8" w:rsidRPr="00D921DE" w:rsidRDefault="009640D8" w:rsidP="001107EA">
      <w:pPr>
        <w:rPr>
          <w:rFonts w:asciiTheme="majorHAnsi" w:hAnsiTheme="majorHAnsi"/>
          <w:sz w:val="22"/>
          <w:szCs w:val="22"/>
        </w:rPr>
      </w:pPr>
    </w:p>
    <w:p w:rsidR="00AE6989" w:rsidRPr="002B6A6E" w:rsidRDefault="001107EA">
      <w:pPr>
        <w:rPr>
          <w:rFonts w:asciiTheme="majorHAnsi" w:hAnsiTheme="majorHAnsi"/>
          <w:color w:val="960000"/>
          <w:sz w:val="22"/>
          <w:szCs w:val="22"/>
        </w:rPr>
      </w:pPr>
      <w:r w:rsidRPr="00BB1C21">
        <w:rPr>
          <w:rFonts w:asciiTheme="majorHAnsi" w:hAnsiTheme="majorHAnsi"/>
          <w:color w:val="960000"/>
          <w:sz w:val="22"/>
          <w:szCs w:val="22"/>
        </w:rPr>
        <w:t>*u slučaju jednog ili više negativnih odgovora prijav</w:t>
      </w:r>
      <w:r w:rsidR="00704952" w:rsidRPr="00BB1C21">
        <w:rPr>
          <w:rFonts w:asciiTheme="majorHAnsi" w:hAnsiTheme="majorHAnsi"/>
          <w:color w:val="960000"/>
          <w:sz w:val="22"/>
          <w:szCs w:val="22"/>
        </w:rPr>
        <w:t>a programa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</w:t>
      </w:r>
      <w:r w:rsidRPr="00BB1C21">
        <w:rPr>
          <w:rFonts w:asciiTheme="majorHAnsi" w:hAnsiTheme="majorHAnsi"/>
          <w:b/>
          <w:color w:val="960000"/>
          <w:sz w:val="22"/>
          <w:szCs w:val="22"/>
        </w:rPr>
        <w:t>ne zadovoljava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tehničke uvjete natječaja i bit će odbačena</w:t>
      </w:r>
    </w:p>
    <w:sectPr w:rsidR="00AE6989" w:rsidRPr="002B6A6E" w:rsidSect="00D0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B3" w:rsidRDefault="00E876B3" w:rsidP="00AC7C00">
      <w:r>
        <w:separator/>
      </w:r>
    </w:p>
  </w:endnote>
  <w:endnote w:type="continuationSeparator" w:id="0">
    <w:p w:rsidR="00E876B3" w:rsidRDefault="00E876B3" w:rsidP="00AC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C" w:rsidRDefault="007A339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C" w:rsidRDefault="007A339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C" w:rsidRDefault="007A339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B3" w:rsidRDefault="00E876B3" w:rsidP="00AC7C00">
      <w:r>
        <w:separator/>
      </w:r>
    </w:p>
  </w:footnote>
  <w:footnote w:type="continuationSeparator" w:id="0">
    <w:p w:rsidR="00E876B3" w:rsidRDefault="00E876B3" w:rsidP="00AC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C" w:rsidRDefault="007A339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Ind w:w="-13183" w:type="dxa"/>
      <w:tblLook w:val="04A0"/>
    </w:tblPr>
    <w:tblGrid>
      <w:gridCol w:w="14821"/>
    </w:tblGrid>
    <w:tr w:rsidR="00AE6989" w:rsidRPr="00307DA1" w:rsidTr="004E3BB2">
      <w:trPr>
        <w:jc w:val="right"/>
      </w:trPr>
      <w:tc>
        <w:tcPr>
          <w:tcW w:w="14821" w:type="dxa"/>
          <w:shd w:val="clear" w:color="auto" w:fill="auto"/>
        </w:tcPr>
        <w:p w:rsidR="00AE6989" w:rsidRPr="00815A94" w:rsidRDefault="00815A94" w:rsidP="007A339C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20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:rsidR="00AE6989" w:rsidRDefault="00AE6989" w:rsidP="00AE6989"/>
  <w:p w:rsidR="0058251A" w:rsidRDefault="005825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C" w:rsidRDefault="007A339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20099"/>
    <w:rsid w:val="000054DD"/>
    <w:rsid w:val="00020EF1"/>
    <w:rsid w:val="00042F1F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228FB"/>
    <w:rsid w:val="001322A6"/>
    <w:rsid w:val="00157F41"/>
    <w:rsid w:val="00166D14"/>
    <w:rsid w:val="0017632E"/>
    <w:rsid w:val="00185555"/>
    <w:rsid w:val="00186DEA"/>
    <w:rsid w:val="001A0C3C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20795"/>
    <w:rsid w:val="00352231"/>
    <w:rsid w:val="003A318C"/>
    <w:rsid w:val="003B39C4"/>
    <w:rsid w:val="003C0460"/>
    <w:rsid w:val="00413AA7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5022D9"/>
    <w:rsid w:val="0054102A"/>
    <w:rsid w:val="00564C9B"/>
    <w:rsid w:val="00570A0C"/>
    <w:rsid w:val="0058251A"/>
    <w:rsid w:val="005B2B29"/>
    <w:rsid w:val="005B4B11"/>
    <w:rsid w:val="005C22B8"/>
    <w:rsid w:val="005D128B"/>
    <w:rsid w:val="005D6998"/>
    <w:rsid w:val="005F1A57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6B4C"/>
    <w:rsid w:val="0076196E"/>
    <w:rsid w:val="00784B0B"/>
    <w:rsid w:val="0079014C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33303"/>
    <w:rsid w:val="00837299"/>
    <w:rsid w:val="00837741"/>
    <w:rsid w:val="00847E10"/>
    <w:rsid w:val="008505A3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C609D"/>
    <w:rsid w:val="009E153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4276"/>
    <w:rsid w:val="00B13592"/>
    <w:rsid w:val="00B2254C"/>
    <w:rsid w:val="00B44032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863A9"/>
    <w:rsid w:val="00E876B3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54F7"/>
    <w:rsid w:val="00F97147"/>
    <w:rsid w:val="00FA697B"/>
    <w:rsid w:val="00FA7E22"/>
    <w:rsid w:val="00FB030D"/>
    <w:rsid w:val="00FD7605"/>
    <w:rsid w:val="00FE3C75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754F-1638-4B93-863F-9BDFCAC5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HZTK</cp:lastModifiedBy>
  <cp:revision>18</cp:revision>
  <cp:lastPrinted>2017-05-09T07:27:00Z</cp:lastPrinted>
  <dcterms:created xsi:type="dcterms:W3CDTF">2017-05-09T07:26:00Z</dcterms:created>
  <dcterms:modified xsi:type="dcterms:W3CDTF">2019-05-07T10:39:00Z</dcterms:modified>
</cp:coreProperties>
</file>